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B5546" w14:textId="77777777" w:rsidR="00930710" w:rsidRDefault="00D83E93" w:rsidP="006F0ACF">
      <w:pPr>
        <w:jc w:val="center"/>
      </w:pPr>
      <w:r>
        <w:t>Projet Commission enseignement : 150 ans de la SFP</w:t>
      </w:r>
    </w:p>
    <w:p w14:paraId="2C63436F" w14:textId="77777777" w:rsidR="00D83E93" w:rsidRDefault="00D83E93"/>
    <w:p w14:paraId="771ECD77" w14:textId="77777777" w:rsidR="00D83E93" w:rsidRPr="006F0ACF" w:rsidRDefault="0092497E" w:rsidP="006F0ACF">
      <w:pPr>
        <w:jc w:val="center"/>
        <w:rPr>
          <w:b/>
        </w:rPr>
      </w:pPr>
      <w:r>
        <w:rPr>
          <w:b/>
        </w:rPr>
        <w:t>2</w:t>
      </w:r>
      <w:r w:rsidR="006F0ACF">
        <w:rPr>
          <w:b/>
        </w:rPr>
        <w:t xml:space="preserve">/ </w:t>
      </w:r>
      <w:r>
        <w:rPr>
          <w:b/>
        </w:rPr>
        <w:t>Rencontres Enseignement et Didactique de la Physique (REDP)</w:t>
      </w:r>
    </w:p>
    <w:p w14:paraId="73BD4DC1" w14:textId="77777777" w:rsidR="006F0ACF" w:rsidRDefault="006F0ACF" w:rsidP="006F0ACF">
      <w:pPr>
        <w:jc w:val="center"/>
      </w:pPr>
    </w:p>
    <w:p w14:paraId="405CEB4F" w14:textId="77777777" w:rsidR="00D83E93" w:rsidRDefault="00D83E93"/>
    <w:p w14:paraId="6F07784B" w14:textId="2ED36A41" w:rsidR="003C26FD" w:rsidRDefault="003C26FD" w:rsidP="00952C9D">
      <w:pPr>
        <w:jc w:val="both"/>
      </w:pPr>
      <w:r w:rsidRPr="003C26FD">
        <w:t>Le</w:t>
      </w:r>
      <w:r>
        <w:t xml:space="preserve">s rencontres enseignement et didactique de la physique (REDP) </w:t>
      </w:r>
      <w:r w:rsidRPr="003C26FD">
        <w:t>visent</w:t>
      </w:r>
      <w:r w:rsidR="00952C9D">
        <w:t xml:space="preserve"> </w:t>
      </w:r>
      <w:r w:rsidRPr="003C26FD">
        <w:t xml:space="preserve">au rapprochement et à la fécondation mutuelle de communautés qui se connaissent </w:t>
      </w:r>
      <w:r>
        <w:t xml:space="preserve">encore trop </w:t>
      </w:r>
      <w:r w:rsidRPr="003C26FD">
        <w:t>peu, celle des physiciens, praticiens et enseignants, et cell</w:t>
      </w:r>
      <w:r>
        <w:t xml:space="preserve">e de la didactique </w:t>
      </w:r>
      <w:r w:rsidR="00952C9D">
        <w:t>de la physique</w:t>
      </w:r>
      <w:r w:rsidRPr="003C26FD">
        <w:t>, dont l’enseignement parcourt toute la scolarité des élèves, de l’école primaire à l'enseignement supérieur.</w:t>
      </w:r>
    </w:p>
    <w:p w14:paraId="2FFC17CF" w14:textId="77777777" w:rsidR="00952C9D" w:rsidRDefault="00952C9D" w:rsidP="00952C9D">
      <w:pPr>
        <w:jc w:val="both"/>
      </w:pPr>
    </w:p>
    <w:p w14:paraId="4CC0AED3" w14:textId="77C487AE" w:rsidR="00613A3B" w:rsidRPr="00613A3B" w:rsidRDefault="00952C9D" w:rsidP="00613A3B">
      <w:pPr>
        <w:jc w:val="both"/>
      </w:pPr>
      <w:r>
        <w:t>Ces rencontres articuleront s</w:t>
      </w:r>
      <w:r w:rsidRPr="003C26FD">
        <w:t>essions orales, présentation de</w:t>
      </w:r>
      <w:r>
        <w:t xml:space="preserve"> posters, conférences invitées et </w:t>
      </w:r>
      <w:r w:rsidRPr="003C26FD">
        <w:t>tables rondes</w:t>
      </w:r>
      <w:r w:rsidR="00613A3B">
        <w:t>,</w:t>
      </w:r>
      <w:r>
        <w:t xml:space="preserve"> en respectant les créneaux pour les plénières et les posters, etc</w:t>
      </w:r>
      <w:r w:rsidRPr="003C26FD">
        <w:t>.</w:t>
      </w:r>
      <w:r>
        <w:t xml:space="preserve">  </w:t>
      </w:r>
      <w:r w:rsidR="00613A3B" w:rsidRPr="00613A3B">
        <w:t xml:space="preserve">Elles sont ouvertes à tous les </w:t>
      </w:r>
      <w:r w:rsidR="00613A3B">
        <w:t>physic</w:t>
      </w:r>
      <w:r w:rsidR="00613A3B" w:rsidRPr="00613A3B">
        <w:t>iens mais aussi aux didacticiens, enseignants et formateurs</w:t>
      </w:r>
      <w:r w:rsidR="00613A3B">
        <w:t>. Pour les congressistes, les RE</w:t>
      </w:r>
      <w:r w:rsidR="00613A3B" w:rsidRPr="00613A3B">
        <w:t>D</w:t>
      </w:r>
      <w:r w:rsidR="00613A3B">
        <w:t>P</w:t>
      </w:r>
      <w:r w:rsidR="00613A3B" w:rsidRPr="00613A3B">
        <w:t xml:space="preserve"> ouvrent un espace d’échange sur l’enseignement et la didactique de l</w:t>
      </w:r>
      <w:r w:rsidR="00613A3B">
        <w:t>a physique</w:t>
      </w:r>
      <w:r w:rsidR="00613A3B" w:rsidRPr="00613A3B">
        <w:t xml:space="preserve"> et ne rentrent donc pas en compétition avec les autres sessions. En revanche, l’ouverture qu’elles offrent à de nouveaux publics peut faciliter l’ancrage local de la manifestation et être un argument de poids lors du dépôt des dossiers régionaux.</w:t>
      </w:r>
    </w:p>
    <w:p w14:paraId="0C9EBA8D" w14:textId="7C7A2E76" w:rsidR="003C26FD" w:rsidRPr="003C26FD" w:rsidRDefault="003C26FD" w:rsidP="00613A3B">
      <w:pPr>
        <w:jc w:val="both"/>
      </w:pPr>
    </w:p>
    <w:p w14:paraId="26164B9B" w14:textId="02481043" w:rsidR="00613A3B" w:rsidRPr="00613A3B" w:rsidRDefault="00613A3B" w:rsidP="00613A3B">
      <w:pPr>
        <w:jc w:val="both"/>
      </w:pPr>
      <w:r>
        <w:t>Les REDP</w:t>
      </w:r>
      <w:r w:rsidR="003C26FD">
        <w:t xml:space="preserve"> sont le pendant des REOD, les rencontres enseignement de l’optique et didactique, que  l</w:t>
      </w:r>
      <w:r w:rsidR="0092497E">
        <w:t>a commission enseignement organisera en 2022 en partenariat avec la</w:t>
      </w:r>
      <w:r w:rsidR="003C26FD">
        <w:t xml:space="preserve"> commission enseignement de la</w:t>
      </w:r>
      <w:r w:rsidR="0092497E">
        <w:t xml:space="preserve"> SFO pendant </w:t>
      </w:r>
      <w:r w:rsidR="003C26FD">
        <w:t xml:space="preserve">le congrès </w:t>
      </w:r>
      <w:r w:rsidR="0092497E">
        <w:t>OPTIQUE</w:t>
      </w:r>
      <w:r w:rsidR="003C26FD">
        <w:t xml:space="preserve"> Nice</w:t>
      </w:r>
      <w:r w:rsidR="0092497E">
        <w:t xml:space="preserve">. </w:t>
      </w:r>
      <w:r>
        <w:t>P</w:t>
      </w:r>
      <w:r w:rsidR="003C26FD">
        <w:t>ortées toutes deux par les commissions enseignement de la SFO et de la SFP, ces manifestations ont</w:t>
      </w:r>
      <w:r w:rsidR="0092497E">
        <w:t xml:space="preserve"> vocation à </w:t>
      </w:r>
      <w:r w:rsidR="007B00C3">
        <w:t xml:space="preserve">se pérenniser et </w:t>
      </w:r>
      <w:r w:rsidR="0092497E">
        <w:t xml:space="preserve">s’ancrer </w:t>
      </w:r>
      <w:r w:rsidR="003C26FD">
        <w:t>dans OPTIQUE (REOD) et dans le congrès général (REDP)</w:t>
      </w:r>
      <w:r w:rsidR="0092497E">
        <w:t xml:space="preserve">. </w:t>
      </w:r>
      <w:r w:rsidR="003C26FD">
        <w:t xml:space="preserve"> </w:t>
      </w:r>
    </w:p>
    <w:p w14:paraId="5DCDC60D" w14:textId="77777777" w:rsidR="0092497E" w:rsidRDefault="0092497E" w:rsidP="003C26FD">
      <w:pPr>
        <w:jc w:val="both"/>
      </w:pPr>
    </w:p>
    <w:p w14:paraId="502C3833" w14:textId="77777777" w:rsidR="00952C9D" w:rsidRDefault="00952C9D" w:rsidP="003C26FD">
      <w:pPr>
        <w:jc w:val="both"/>
      </w:pPr>
    </w:p>
    <w:p w14:paraId="4B74EB0C" w14:textId="2AA87D2B" w:rsidR="00952C9D" w:rsidRDefault="00952C9D" w:rsidP="003C26FD">
      <w:pPr>
        <w:jc w:val="both"/>
      </w:pPr>
      <w:r>
        <w:t>Localisation : congrès général de la SFP</w:t>
      </w:r>
    </w:p>
    <w:p w14:paraId="73554E44" w14:textId="77777777" w:rsidR="00952C9D" w:rsidRDefault="00952C9D" w:rsidP="003C26FD">
      <w:pPr>
        <w:jc w:val="both"/>
      </w:pPr>
    </w:p>
    <w:p w14:paraId="1CD694D8" w14:textId="708FCDC4" w:rsidR="00952C9D" w:rsidRDefault="00952C9D" w:rsidP="003C26FD">
      <w:pPr>
        <w:jc w:val="both"/>
      </w:pPr>
      <w:r>
        <w:t>Besoin en locaux : un amphi de 150 places, un espace pour les posters</w:t>
      </w:r>
    </w:p>
    <w:p w14:paraId="7AD8F72F" w14:textId="77777777" w:rsidR="00952C9D" w:rsidRDefault="00952C9D" w:rsidP="003C26FD">
      <w:pPr>
        <w:jc w:val="both"/>
      </w:pPr>
    </w:p>
    <w:p w14:paraId="1AEE9A63" w14:textId="3FF13DE8" w:rsidR="00952C9D" w:rsidRDefault="00952C9D" w:rsidP="003C26FD">
      <w:pPr>
        <w:jc w:val="both"/>
      </w:pPr>
      <w:r>
        <w:t>Besoins humains et logistiques : intégration de l’événement dans le Congrès général (appel à communications inclus dans le site du congrès, inscription, etc.)</w:t>
      </w:r>
    </w:p>
    <w:p w14:paraId="3CB9F884" w14:textId="77777777" w:rsidR="00952C9D" w:rsidRDefault="00952C9D" w:rsidP="003C26FD">
      <w:pPr>
        <w:jc w:val="both"/>
      </w:pPr>
    </w:p>
    <w:p w14:paraId="30D62A3F" w14:textId="14D53EF9" w:rsidR="00952C9D" w:rsidRPr="00952C9D" w:rsidRDefault="00952C9D" w:rsidP="00952C9D">
      <w:pPr>
        <w:jc w:val="both"/>
      </w:pPr>
      <w:r>
        <w:t>Gestion des inscriptions : ces rencontres accueilleront un public qui n’est pas celui des congressistes (enseignan</w:t>
      </w:r>
      <w:r w:rsidR="00613A3B">
        <w:t>ts du premier et second degré,</w:t>
      </w:r>
      <w:r>
        <w:t xml:space="preserve"> didacticiens) et pour lequel l’inscription sera gratuite</w:t>
      </w:r>
      <w:r w:rsidR="00613A3B">
        <w:t xml:space="preserve"> ou à faible coût</w:t>
      </w:r>
      <w:r>
        <w:t xml:space="preserve">. Cette inscription n'ouvre </w:t>
      </w:r>
      <w:r w:rsidRPr="00952C9D">
        <w:rPr>
          <w:i/>
        </w:rPr>
        <w:t>a priori</w:t>
      </w:r>
      <w:r w:rsidRPr="00952C9D">
        <w:t xml:space="preserve"> aucun autr</w:t>
      </w:r>
      <w:r>
        <w:t>e droit que l'assistance aux RE</w:t>
      </w:r>
      <w:r w:rsidRPr="00952C9D">
        <w:t>D</w:t>
      </w:r>
      <w:r>
        <w:t>P</w:t>
      </w:r>
      <w:r w:rsidRPr="00952C9D">
        <w:t xml:space="preserve">  (repas, etc.). </w:t>
      </w:r>
      <w:r>
        <w:t>Les participants non congressistes</w:t>
      </w:r>
      <w:r w:rsidRPr="00952C9D">
        <w:t xml:space="preserve"> ne « consomme</w:t>
      </w:r>
      <w:r>
        <w:t>ro</w:t>
      </w:r>
      <w:r w:rsidRPr="00952C9D">
        <w:t xml:space="preserve">nt » </w:t>
      </w:r>
      <w:r>
        <w:t xml:space="preserve">donc </w:t>
      </w:r>
      <w:r w:rsidRPr="00952C9D">
        <w:t>aucune ressource au delà de l’occup</w:t>
      </w:r>
      <w:r>
        <w:t>ation de la salle dédiée aux RE</w:t>
      </w:r>
      <w:r w:rsidRPr="00952C9D">
        <w:t>D</w:t>
      </w:r>
      <w:r>
        <w:t>P</w:t>
      </w:r>
      <w:r w:rsidRPr="00952C9D">
        <w:t>. </w:t>
      </w:r>
      <w:r>
        <w:t xml:space="preserve">Un </w:t>
      </w:r>
      <w:r w:rsidR="00613A3B">
        <w:t xml:space="preserve"> accueil avec</w:t>
      </w:r>
      <w:r w:rsidRPr="00952C9D">
        <w:t xml:space="preserve"> des badges distincts</w:t>
      </w:r>
      <w:r w:rsidR="00613A3B">
        <w:t xml:space="preserve"> peu</w:t>
      </w:r>
      <w:r>
        <w:t>t être envisagés (comme pour les REOD)</w:t>
      </w:r>
      <w:r w:rsidRPr="00952C9D">
        <w:t>.</w:t>
      </w:r>
    </w:p>
    <w:p w14:paraId="00E06C81" w14:textId="77777777" w:rsidR="00952C9D" w:rsidRDefault="00952C9D" w:rsidP="003C26FD">
      <w:pPr>
        <w:jc w:val="both"/>
      </w:pPr>
    </w:p>
    <w:p w14:paraId="6368D906" w14:textId="77777777" w:rsidR="007B00C3" w:rsidRDefault="007B00C3" w:rsidP="003C26FD">
      <w:pPr>
        <w:jc w:val="both"/>
      </w:pPr>
    </w:p>
    <w:p w14:paraId="485AAD98" w14:textId="4F2F276E" w:rsidR="007B00C3" w:rsidRPr="007B00C3" w:rsidRDefault="007B00C3" w:rsidP="003C26FD">
      <w:pPr>
        <w:jc w:val="both"/>
      </w:pPr>
      <w:r w:rsidRPr="007B00C3">
        <w:rPr>
          <w:b/>
        </w:rPr>
        <w:t>Budget</w:t>
      </w:r>
      <w:r w:rsidR="00952C9D">
        <w:rPr>
          <w:b/>
        </w:rPr>
        <w:t xml:space="preserve"> demandé</w:t>
      </w:r>
      <w:r w:rsidRPr="007B00C3">
        <w:rPr>
          <w:b/>
        </w:rPr>
        <w:t xml:space="preserve"> : </w:t>
      </w:r>
      <w:r>
        <w:t>3000</w:t>
      </w:r>
      <w:r w:rsidRPr="007B00C3">
        <w:t xml:space="preserve"> euros</w:t>
      </w:r>
      <w:r>
        <w:t xml:space="preserve"> (frais de mission de trois conférenciers dont un à l’international)</w:t>
      </w:r>
      <w:r w:rsidR="00DC14B5">
        <w:t xml:space="preserve"> + pauses café des non congressistes</w:t>
      </w:r>
      <w:bookmarkStart w:id="0" w:name="_GoBack"/>
      <w:bookmarkEnd w:id="0"/>
      <w:r w:rsidR="00DC14B5">
        <w:t>.</w:t>
      </w:r>
    </w:p>
    <w:p w14:paraId="59C28811" w14:textId="77777777" w:rsidR="003C26FD" w:rsidRDefault="003C26FD" w:rsidP="003C26FD">
      <w:pPr>
        <w:jc w:val="both"/>
      </w:pPr>
    </w:p>
    <w:p w14:paraId="16EAEAF1" w14:textId="77777777" w:rsidR="003C26FD" w:rsidRPr="003C26FD" w:rsidRDefault="003C26FD" w:rsidP="003C26FD">
      <w:pPr>
        <w:jc w:val="both"/>
      </w:pPr>
    </w:p>
    <w:sectPr w:rsidR="003C26FD" w:rsidRPr="003C26FD" w:rsidSect="00492B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6377D"/>
    <w:multiLevelType w:val="multilevel"/>
    <w:tmpl w:val="E83E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93"/>
    <w:rsid w:val="001673F7"/>
    <w:rsid w:val="001D5706"/>
    <w:rsid w:val="003C26FD"/>
    <w:rsid w:val="00492B9A"/>
    <w:rsid w:val="00613A3B"/>
    <w:rsid w:val="006F0ACF"/>
    <w:rsid w:val="007B00C3"/>
    <w:rsid w:val="0092497E"/>
    <w:rsid w:val="00930710"/>
    <w:rsid w:val="00952C9D"/>
    <w:rsid w:val="00D83E93"/>
    <w:rsid w:val="00DC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70EB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382</Words>
  <Characters>2102</Characters>
  <Application>Microsoft Macintosh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eblanquet</dc:creator>
  <cp:keywords/>
  <dc:description/>
  <cp:lastModifiedBy>eblanquet</cp:lastModifiedBy>
  <cp:revision>6</cp:revision>
  <dcterms:created xsi:type="dcterms:W3CDTF">2021-11-09T08:30:00Z</dcterms:created>
  <dcterms:modified xsi:type="dcterms:W3CDTF">2021-11-09T09:29:00Z</dcterms:modified>
</cp:coreProperties>
</file>