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2EB3" w:rsidRDefault="006B2EB3" w:rsidP="006B2EB3">
      <w:pPr>
        <w:tabs>
          <w:tab w:val="left" w:pos="7002"/>
        </w:tabs>
        <w:rPr>
          <w:rFonts w:ascii="Arial" w:hAnsi="Arial" w:cs="Arial"/>
          <w:sz w:val="24"/>
        </w:rPr>
      </w:pPr>
      <w:r>
        <w:rPr>
          <w:rFonts w:ascii="Arial" w:hAnsi="Arial" w:cs="Arial"/>
          <w:sz w:val="24"/>
        </w:rPr>
        <w:t>Quelle filière nucléaire pour quel cycle du combustible</w:t>
      </w:r>
    </w:p>
    <w:p w:rsidR="006B2EB3" w:rsidRDefault="006B2EB3" w:rsidP="006B2EB3">
      <w:pPr>
        <w:tabs>
          <w:tab w:val="left" w:pos="7002"/>
        </w:tabs>
        <w:rPr>
          <w:rFonts w:ascii="Arial" w:hAnsi="Arial" w:cs="Arial"/>
          <w:sz w:val="24"/>
        </w:rPr>
      </w:pPr>
    </w:p>
    <w:p w:rsidR="006B2EB3" w:rsidRDefault="006B2EB3" w:rsidP="006B2EB3">
      <w:pPr>
        <w:tabs>
          <w:tab w:val="left" w:pos="7002"/>
        </w:tabs>
        <w:rPr>
          <w:rFonts w:ascii="Arial" w:hAnsi="Arial" w:cs="Arial"/>
          <w:sz w:val="24"/>
        </w:rPr>
      </w:pPr>
      <w:r>
        <w:rPr>
          <w:rFonts w:ascii="Arial" w:hAnsi="Arial" w:cs="Arial"/>
          <w:sz w:val="24"/>
        </w:rPr>
        <w:t xml:space="preserve">L’énergie nucléaire de fission se développe lentement au niveau mondial, et pourrait </w:t>
      </w:r>
      <w:r w:rsidR="00A54EB0">
        <w:rPr>
          <w:rFonts w:ascii="Arial" w:hAnsi="Arial" w:cs="Arial"/>
          <w:sz w:val="24"/>
        </w:rPr>
        <w:t>se développer</w:t>
      </w:r>
      <w:r>
        <w:rPr>
          <w:rFonts w:ascii="Arial" w:hAnsi="Arial" w:cs="Arial"/>
          <w:sz w:val="24"/>
        </w:rPr>
        <w:t xml:space="preserve"> plus rapidement dans l’optique de répondre à une demande d’électricité croissante tout en réduisant les émissions de gaz à effet de serre.</w:t>
      </w:r>
    </w:p>
    <w:p w:rsidR="006B2EB3" w:rsidRDefault="006B2EB3" w:rsidP="006B2EB3">
      <w:pPr>
        <w:tabs>
          <w:tab w:val="left" w:pos="7002"/>
        </w:tabs>
        <w:rPr>
          <w:rFonts w:ascii="Arial" w:hAnsi="Arial" w:cs="Arial"/>
          <w:sz w:val="24"/>
        </w:rPr>
      </w:pPr>
    </w:p>
    <w:p w:rsidR="006B2EB3" w:rsidRDefault="006B2EB3" w:rsidP="006B2EB3">
      <w:pPr>
        <w:tabs>
          <w:tab w:val="left" w:pos="7002"/>
        </w:tabs>
        <w:rPr>
          <w:rFonts w:ascii="Arial" w:hAnsi="Arial" w:cs="Arial"/>
          <w:sz w:val="24"/>
        </w:rPr>
      </w:pPr>
      <w:r>
        <w:rPr>
          <w:rFonts w:ascii="Arial" w:hAnsi="Arial" w:cs="Arial"/>
          <w:sz w:val="24"/>
        </w:rPr>
        <w:t>Les choix technologiques sont guidés aujourd’hui par des exigences de sûreté accrue, par la recherche d’une meilleure compétitivité économique et par l’ouverture vers de nouveaux usages comme la production de chaleur.</w:t>
      </w:r>
    </w:p>
    <w:p w:rsidR="006B2EB3" w:rsidRDefault="006B2EB3" w:rsidP="006B2EB3">
      <w:pPr>
        <w:tabs>
          <w:tab w:val="left" w:pos="7002"/>
        </w:tabs>
        <w:rPr>
          <w:rFonts w:ascii="Arial" w:hAnsi="Arial" w:cs="Arial"/>
          <w:sz w:val="24"/>
        </w:rPr>
      </w:pPr>
    </w:p>
    <w:p w:rsidR="006B2EB3" w:rsidRDefault="006B2EB3" w:rsidP="006B2EB3">
      <w:pPr>
        <w:tabs>
          <w:tab w:val="left" w:pos="7002"/>
        </w:tabs>
        <w:rPr>
          <w:rFonts w:ascii="Arial" w:hAnsi="Arial" w:cs="Arial"/>
          <w:sz w:val="24"/>
        </w:rPr>
      </w:pPr>
      <w:r>
        <w:rPr>
          <w:rFonts w:ascii="Arial" w:hAnsi="Arial" w:cs="Arial"/>
          <w:sz w:val="24"/>
        </w:rPr>
        <w:t xml:space="preserve">Les questions de cycle du combustible, comme le recyclage du plutonium voire de certains déchets nucléaires pour les transmuter, se posent aujourd’hui sous une nouvelle forme. S’il était convenu en France que la consommation </w:t>
      </w:r>
      <w:r w:rsidR="0060163E">
        <w:rPr>
          <w:rFonts w:ascii="Arial" w:hAnsi="Arial" w:cs="Arial"/>
          <w:sz w:val="24"/>
        </w:rPr>
        <w:t xml:space="preserve">mondiale </w:t>
      </w:r>
      <w:r>
        <w:rPr>
          <w:rFonts w:ascii="Arial" w:hAnsi="Arial" w:cs="Arial"/>
          <w:sz w:val="24"/>
        </w:rPr>
        <w:t xml:space="preserve">d’uranium allait </w:t>
      </w:r>
      <w:r w:rsidR="0060163E">
        <w:rPr>
          <w:rFonts w:ascii="Arial" w:hAnsi="Arial" w:cs="Arial"/>
          <w:sz w:val="24"/>
        </w:rPr>
        <w:t xml:space="preserve">croître et </w:t>
      </w:r>
      <w:r>
        <w:rPr>
          <w:rFonts w:ascii="Arial" w:hAnsi="Arial" w:cs="Arial"/>
          <w:sz w:val="24"/>
        </w:rPr>
        <w:t xml:space="preserve">nécessiter le déploiement rapide de réacteurs régénérateurs, cette stratégie est aujourd’hui mise en débat, du fait d’un déploiement nucléaire qui s’annonce lent. En parallèle, la gestion des déchets ultimes les plus radioactifs arrive dans une période de prise de décision sensible, ce qui fait ressurgir des questions anciennes qui semblaient endormies, notamment </w:t>
      </w:r>
      <w:r w:rsidR="006062AD">
        <w:rPr>
          <w:rFonts w:ascii="Arial" w:hAnsi="Arial" w:cs="Arial"/>
          <w:sz w:val="24"/>
        </w:rPr>
        <w:t>celle de</w:t>
      </w:r>
      <w:r>
        <w:rPr>
          <w:rFonts w:ascii="Arial" w:hAnsi="Arial" w:cs="Arial"/>
          <w:sz w:val="24"/>
        </w:rPr>
        <w:t xml:space="preserve"> la transmutation comme </w:t>
      </w:r>
      <w:r w:rsidR="00F846C9">
        <w:rPr>
          <w:rFonts w:ascii="Arial" w:hAnsi="Arial" w:cs="Arial"/>
          <w:sz w:val="24"/>
        </w:rPr>
        <w:t>alternative éventuelle au stockage des déchets</w:t>
      </w:r>
      <w:r w:rsidR="006062AD">
        <w:rPr>
          <w:rFonts w:ascii="Arial" w:hAnsi="Arial" w:cs="Arial"/>
          <w:sz w:val="24"/>
        </w:rPr>
        <w:t xml:space="preserve"> de haute activité.</w:t>
      </w:r>
    </w:p>
    <w:p w:rsidR="006B2EB3" w:rsidRDefault="006B2EB3" w:rsidP="006B2EB3">
      <w:pPr>
        <w:tabs>
          <w:tab w:val="left" w:pos="7002"/>
        </w:tabs>
        <w:rPr>
          <w:rFonts w:ascii="Arial" w:hAnsi="Arial" w:cs="Arial"/>
          <w:sz w:val="24"/>
        </w:rPr>
      </w:pPr>
    </w:p>
    <w:p w:rsidR="0060163E" w:rsidRDefault="0060163E" w:rsidP="006B2EB3">
      <w:pPr>
        <w:tabs>
          <w:tab w:val="left" w:pos="7002"/>
        </w:tabs>
        <w:rPr>
          <w:rFonts w:ascii="Arial" w:hAnsi="Arial" w:cs="Arial"/>
          <w:sz w:val="24"/>
        </w:rPr>
      </w:pPr>
      <w:r>
        <w:rPr>
          <w:rFonts w:ascii="Arial" w:hAnsi="Arial" w:cs="Arial"/>
          <w:sz w:val="24"/>
        </w:rPr>
        <w:t xml:space="preserve">Nous </w:t>
      </w:r>
      <w:r w:rsidR="00A004C5">
        <w:rPr>
          <w:rFonts w:ascii="Arial" w:hAnsi="Arial" w:cs="Arial"/>
          <w:sz w:val="24"/>
        </w:rPr>
        <w:t>rappellerons</w:t>
      </w:r>
      <w:r>
        <w:rPr>
          <w:rFonts w:ascii="Arial" w:hAnsi="Arial" w:cs="Arial"/>
          <w:sz w:val="24"/>
        </w:rPr>
        <w:t xml:space="preserve"> les lois physiques </w:t>
      </w:r>
      <w:r w:rsidR="00A004C5">
        <w:rPr>
          <w:rFonts w:ascii="Arial" w:hAnsi="Arial" w:cs="Arial"/>
          <w:sz w:val="24"/>
        </w:rPr>
        <w:t xml:space="preserve">de base </w:t>
      </w:r>
      <w:r>
        <w:rPr>
          <w:rFonts w:ascii="Arial" w:hAnsi="Arial" w:cs="Arial"/>
          <w:sz w:val="24"/>
        </w:rPr>
        <w:t>qui gouvernent les questions de cycle du combustible, notamment les équations d’évolution des actinides</w:t>
      </w:r>
      <w:r w:rsidR="00A004C5">
        <w:rPr>
          <w:rFonts w:ascii="Arial" w:hAnsi="Arial" w:cs="Arial"/>
          <w:sz w:val="24"/>
        </w:rPr>
        <w:t>. Nous regarderons en détail</w:t>
      </w:r>
      <w:r>
        <w:rPr>
          <w:rFonts w:ascii="Arial" w:hAnsi="Arial" w:cs="Arial"/>
          <w:sz w:val="24"/>
        </w:rPr>
        <w:t xml:space="preserve"> les états d’équilibre attein</w:t>
      </w:r>
      <w:r w:rsidR="007E474E">
        <w:rPr>
          <w:rFonts w:ascii="Arial" w:hAnsi="Arial" w:cs="Arial"/>
          <w:sz w:val="24"/>
        </w:rPr>
        <w:t>t</w:t>
      </w:r>
      <w:r>
        <w:rPr>
          <w:rFonts w:ascii="Arial" w:hAnsi="Arial" w:cs="Arial"/>
          <w:sz w:val="24"/>
        </w:rPr>
        <w:t>s lorsqu’on multi-recycle les matières, qu’il s’agisse de noyaux fissiles ou de déchets à transmuter.</w:t>
      </w:r>
      <w:r w:rsidR="006062AD">
        <w:rPr>
          <w:rFonts w:ascii="Arial" w:hAnsi="Arial" w:cs="Arial"/>
          <w:sz w:val="24"/>
        </w:rPr>
        <w:t xml:space="preserve"> Cela nous permettra </w:t>
      </w:r>
      <w:r w:rsidR="00A004C5">
        <w:rPr>
          <w:rFonts w:ascii="Arial" w:hAnsi="Arial" w:cs="Arial"/>
          <w:sz w:val="24"/>
        </w:rPr>
        <w:t xml:space="preserve">de </w:t>
      </w:r>
      <w:r w:rsidR="006062AD">
        <w:rPr>
          <w:rFonts w:ascii="Arial" w:hAnsi="Arial" w:cs="Arial"/>
          <w:sz w:val="24"/>
        </w:rPr>
        <w:t xml:space="preserve">discuter </w:t>
      </w:r>
      <w:bookmarkStart w:id="0" w:name="_GoBack"/>
      <w:bookmarkEnd w:id="0"/>
      <w:r w:rsidR="006062AD">
        <w:rPr>
          <w:rFonts w:ascii="Arial" w:hAnsi="Arial" w:cs="Arial"/>
          <w:sz w:val="24"/>
        </w:rPr>
        <w:t xml:space="preserve">de la valeur énergétique du plutonium lorsqu’on le recycle dans divers types de réacteurs et de son statut de matière valorisable qui est en train d’évoluer. La transmutation des actinides mineurs sera également abordée, notamment en termes d’inventaires à l’équilibre </w:t>
      </w:r>
      <w:r w:rsidR="00A004C5">
        <w:rPr>
          <w:rFonts w:ascii="Arial" w:hAnsi="Arial" w:cs="Arial"/>
          <w:sz w:val="24"/>
        </w:rPr>
        <w:t>dans</w:t>
      </w:r>
      <w:r w:rsidR="006062AD">
        <w:rPr>
          <w:rFonts w:ascii="Arial" w:hAnsi="Arial" w:cs="Arial"/>
          <w:sz w:val="24"/>
        </w:rPr>
        <w:t xml:space="preserve"> différents types de réacteurs, critiques ou sous-critiques pilotés par accélérateur</w:t>
      </w:r>
      <w:r w:rsidR="00A004C5">
        <w:rPr>
          <w:rFonts w:ascii="Arial" w:hAnsi="Arial" w:cs="Arial"/>
          <w:sz w:val="24"/>
        </w:rPr>
        <w:t xml:space="preserve">. Cette </w:t>
      </w:r>
      <w:r w:rsidR="006062AD">
        <w:rPr>
          <w:rFonts w:ascii="Arial" w:hAnsi="Arial" w:cs="Arial"/>
          <w:sz w:val="24"/>
        </w:rPr>
        <w:t xml:space="preserve">approche simplifiée </w:t>
      </w:r>
      <w:r w:rsidR="00A004C5">
        <w:rPr>
          <w:rFonts w:ascii="Arial" w:hAnsi="Arial" w:cs="Arial"/>
          <w:sz w:val="24"/>
        </w:rPr>
        <w:t>des</w:t>
      </w:r>
      <w:r w:rsidR="006062AD">
        <w:rPr>
          <w:rFonts w:ascii="Arial" w:hAnsi="Arial" w:cs="Arial"/>
          <w:sz w:val="24"/>
        </w:rPr>
        <w:t xml:space="preserve"> états d’équilibre permet</w:t>
      </w:r>
      <w:r w:rsidR="00A004C5">
        <w:rPr>
          <w:rFonts w:ascii="Arial" w:hAnsi="Arial" w:cs="Arial"/>
          <w:sz w:val="24"/>
        </w:rPr>
        <w:t>tra au passage</w:t>
      </w:r>
      <w:r w:rsidR="006062AD">
        <w:rPr>
          <w:rFonts w:ascii="Arial" w:hAnsi="Arial" w:cs="Arial"/>
          <w:sz w:val="24"/>
        </w:rPr>
        <w:t xml:space="preserve"> de mettre à mal </w:t>
      </w:r>
      <w:r w:rsidR="00A004C5">
        <w:rPr>
          <w:rFonts w:ascii="Arial" w:hAnsi="Arial" w:cs="Arial"/>
          <w:sz w:val="24"/>
        </w:rPr>
        <w:t>l’</w:t>
      </w:r>
      <w:r w:rsidR="006062AD">
        <w:rPr>
          <w:rFonts w:ascii="Arial" w:hAnsi="Arial" w:cs="Arial"/>
          <w:sz w:val="24"/>
        </w:rPr>
        <w:t>idée encore bien établie</w:t>
      </w:r>
      <w:r w:rsidR="00A004C5">
        <w:rPr>
          <w:rFonts w:ascii="Arial" w:hAnsi="Arial" w:cs="Arial"/>
          <w:sz w:val="24"/>
        </w:rPr>
        <w:t xml:space="preserve"> que les neutrons rapides transmutent mieux les déchets car ils font fissionner les noyaux non fissiles. </w:t>
      </w:r>
      <w:r w:rsidR="006062AD">
        <w:rPr>
          <w:rFonts w:ascii="Arial" w:hAnsi="Arial" w:cs="Arial"/>
          <w:sz w:val="24"/>
        </w:rPr>
        <w:t xml:space="preserve"> </w:t>
      </w:r>
    </w:p>
    <w:p w:rsidR="0060163E" w:rsidRDefault="0060163E" w:rsidP="006B2EB3">
      <w:pPr>
        <w:tabs>
          <w:tab w:val="left" w:pos="7002"/>
        </w:tabs>
        <w:rPr>
          <w:rFonts w:ascii="Arial" w:hAnsi="Arial" w:cs="Arial"/>
          <w:sz w:val="24"/>
        </w:rPr>
      </w:pPr>
    </w:p>
    <w:p w:rsidR="00642B92" w:rsidRDefault="00642B92"/>
    <w:sectPr w:rsidR="00642B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EB3"/>
    <w:rsid w:val="0060163E"/>
    <w:rsid w:val="006062AD"/>
    <w:rsid w:val="00642B92"/>
    <w:rsid w:val="006B2EB3"/>
    <w:rsid w:val="007E474E"/>
    <w:rsid w:val="00A004C5"/>
    <w:rsid w:val="00A54EB0"/>
    <w:rsid w:val="00DC0E07"/>
    <w:rsid w:val="00F846C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2216C"/>
  <w15:chartTrackingRefBased/>
  <w15:docId w15:val="{3D8DE282-3B0F-448A-B5E1-67E985C45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2EB3"/>
    <w:pPr>
      <w:widowControl w:val="0"/>
      <w:suppressAutoHyphens/>
      <w:spacing w:after="0" w:line="240" w:lineRule="auto"/>
    </w:pPr>
    <w:rPr>
      <w:rFonts w:ascii="Times New Roman" w:eastAsia="Times New Roman" w:hAnsi="Times New Roman" w:cs="Times New Roman"/>
      <w:sz w:val="20"/>
      <w:szCs w:val="24"/>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268</TotalTime>
  <Pages>1</Pages>
  <Words>332</Words>
  <Characters>1829</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Sylvain</dc:creator>
  <cp:keywords/>
  <dc:description/>
  <cp:lastModifiedBy>DAVID Sylvain</cp:lastModifiedBy>
  <cp:revision>1</cp:revision>
  <dcterms:created xsi:type="dcterms:W3CDTF">2021-05-28T12:43:00Z</dcterms:created>
  <dcterms:modified xsi:type="dcterms:W3CDTF">2021-05-28T17:11:00Z</dcterms:modified>
</cp:coreProperties>
</file>