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5CB6D" w14:textId="77777777" w:rsidR="006E7840" w:rsidRPr="00175C8D" w:rsidRDefault="00A00196">
      <w:pPr>
        <w:rPr>
          <w:b/>
          <w:sz w:val="28"/>
          <w:lang w:val="fr-FR"/>
        </w:rPr>
      </w:pPr>
      <w:r w:rsidRPr="00175C8D">
        <w:rPr>
          <w:b/>
          <w:sz w:val="28"/>
          <w:lang w:val="fr-FR"/>
        </w:rPr>
        <w:t>Entrainement de réseaux de neurones pour la modélisation d’injecteurs de particules et la fiabilisation des accélérateurs de haute puissance</w:t>
      </w:r>
    </w:p>
    <w:p w14:paraId="20E9F2A3" w14:textId="77777777" w:rsidR="00175C8D" w:rsidRPr="00BE79FC" w:rsidRDefault="00175C8D" w:rsidP="00175C8D">
      <w:pPr>
        <w:spacing w:after="0"/>
        <w:rPr>
          <w:sz w:val="24"/>
        </w:rPr>
      </w:pPr>
      <w:r w:rsidRPr="00BE79FC">
        <w:rPr>
          <w:sz w:val="24"/>
        </w:rPr>
        <w:t>M. Debongnie</w:t>
      </w:r>
      <w:r w:rsidRPr="00BE79FC">
        <w:rPr>
          <w:sz w:val="24"/>
          <w:vertAlign w:val="superscript"/>
        </w:rPr>
        <w:t>1,2</w:t>
      </w:r>
      <w:r w:rsidRPr="00BE79FC">
        <w:rPr>
          <w:sz w:val="24"/>
        </w:rPr>
        <w:t>, F. Bouly</w:t>
      </w:r>
      <w:r w:rsidRPr="00BE79FC">
        <w:rPr>
          <w:sz w:val="24"/>
          <w:vertAlign w:val="superscript"/>
        </w:rPr>
        <w:t>2</w:t>
      </w:r>
      <w:r w:rsidRPr="00BE79FC">
        <w:rPr>
          <w:sz w:val="24"/>
        </w:rPr>
        <w:t>, J.-</w:t>
      </w:r>
      <w:r>
        <w:rPr>
          <w:sz w:val="24"/>
        </w:rPr>
        <w:t>M. De C</w:t>
      </w:r>
      <w:r w:rsidRPr="00BE79FC">
        <w:rPr>
          <w:sz w:val="24"/>
        </w:rPr>
        <w:t>onto²</w:t>
      </w:r>
      <w:r>
        <w:rPr>
          <w:sz w:val="24"/>
        </w:rPr>
        <w:t>, O. Kochebina</w:t>
      </w:r>
      <w:r>
        <w:rPr>
          <w:sz w:val="24"/>
          <w:vertAlign w:val="superscript"/>
        </w:rPr>
        <w:t>1</w:t>
      </w:r>
      <w:r>
        <w:rPr>
          <w:sz w:val="24"/>
        </w:rPr>
        <w:t>,</w:t>
      </w:r>
      <w:r w:rsidRPr="00BE79FC">
        <w:rPr>
          <w:sz w:val="24"/>
        </w:rPr>
        <w:t xml:space="preserve"> </w:t>
      </w:r>
      <w:r>
        <w:rPr>
          <w:sz w:val="24"/>
        </w:rPr>
        <w:t>F. Davin</w:t>
      </w:r>
      <w:r>
        <w:rPr>
          <w:sz w:val="24"/>
          <w:vertAlign w:val="superscript"/>
        </w:rPr>
        <w:t>3</w:t>
      </w:r>
    </w:p>
    <w:p w14:paraId="4A0E091E" w14:textId="77777777" w:rsidR="00175C8D" w:rsidRPr="00D10CF3" w:rsidRDefault="00175C8D" w:rsidP="00175C8D">
      <w:pPr>
        <w:spacing w:after="0"/>
        <w:rPr>
          <w:sz w:val="20"/>
        </w:rPr>
      </w:pPr>
      <w:r w:rsidRPr="00D10CF3">
        <w:rPr>
          <w:sz w:val="20"/>
          <w:vertAlign w:val="superscript"/>
        </w:rPr>
        <w:t>1</w:t>
      </w:r>
      <w:r w:rsidRPr="00D10CF3">
        <w:rPr>
          <w:sz w:val="20"/>
        </w:rPr>
        <w:t xml:space="preserve"> Accelerator &amp; Cryogenic Systems, Orsay, France</w:t>
      </w:r>
    </w:p>
    <w:p w14:paraId="17809CB1" w14:textId="77777777" w:rsidR="00175C8D" w:rsidRDefault="00175C8D" w:rsidP="00175C8D">
      <w:pPr>
        <w:spacing w:after="0"/>
        <w:rPr>
          <w:sz w:val="20"/>
        </w:rPr>
      </w:pPr>
      <w:r w:rsidRPr="00D10CF3">
        <w:rPr>
          <w:sz w:val="20"/>
          <w:vertAlign w:val="superscript"/>
        </w:rPr>
        <w:t>2</w:t>
      </w:r>
      <w:r w:rsidRPr="00D10CF3">
        <w:rPr>
          <w:sz w:val="20"/>
        </w:rPr>
        <w:t xml:space="preserve"> Univ. Grenoble Alpes, CNRS, Grenoble INP, LPSC-IN2P3, 38000 Grenoble, France</w:t>
      </w:r>
    </w:p>
    <w:p w14:paraId="3C07EF25" w14:textId="77777777" w:rsidR="00175C8D" w:rsidRDefault="00175C8D" w:rsidP="00175C8D">
      <w:pPr>
        <w:spacing w:after="0"/>
        <w:rPr>
          <w:sz w:val="20"/>
          <w:lang w:val="fr-FR"/>
        </w:rPr>
      </w:pPr>
      <w:r w:rsidRPr="00BE79FC">
        <w:rPr>
          <w:sz w:val="20"/>
          <w:vertAlign w:val="superscript"/>
          <w:lang w:val="fr-FR"/>
        </w:rPr>
        <w:t>3</w:t>
      </w:r>
      <w:r w:rsidRPr="00BE79FC">
        <w:rPr>
          <w:sz w:val="20"/>
          <w:lang w:val="fr-FR"/>
        </w:rPr>
        <w:t xml:space="preserve"> </w:t>
      </w:r>
      <w:r w:rsidRPr="000E09A6">
        <w:rPr>
          <w:sz w:val="20"/>
          <w:lang w:val="fr-FR"/>
        </w:rPr>
        <w:t xml:space="preserve">SCK*CEN, Louvain-la-Neuve, </w:t>
      </w:r>
      <w:r>
        <w:rPr>
          <w:sz w:val="20"/>
          <w:lang w:val="fr-FR"/>
        </w:rPr>
        <w:t>Belgique</w:t>
      </w:r>
    </w:p>
    <w:p w14:paraId="176E24CD" w14:textId="77777777" w:rsidR="00175C8D" w:rsidRPr="00BE79FC" w:rsidRDefault="00175C8D" w:rsidP="00175C8D">
      <w:pPr>
        <w:spacing w:after="0"/>
        <w:rPr>
          <w:sz w:val="20"/>
          <w:lang w:val="fr-FR"/>
        </w:rPr>
      </w:pPr>
    </w:p>
    <w:p w14:paraId="77869573" w14:textId="77777777" w:rsidR="00A00196" w:rsidRPr="00A00196" w:rsidRDefault="00A00196" w:rsidP="005D6302">
      <w:pPr>
        <w:jc w:val="both"/>
        <w:rPr>
          <w:lang w:val="fr-FR"/>
        </w:rPr>
      </w:pPr>
      <w:r w:rsidRPr="00A00196">
        <w:rPr>
          <w:lang w:val="fr-FR"/>
        </w:rPr>
        <w:t>Les projets récents d’accélérateur de particules demandent d’atteindre des niveaux de fiabilité et de stabilité de plus en plus stricts.</w:t>
      </w:r>
      <w:r>
        <w:rPr>
          <w:lang w:val="fr-FR"/>
        </w:rPr>
        <w:t xml:space="preserve"> </w:t>
      </w:r>
      <w:r w:rsidRPr="00A00196">
        <w:rPr>
          <w:lang w:val="fr-FR"/>
        </w:rPr>
        <w:t>L’accélérateur du projet MYRRHA</w:t>
      </w:r>
      <w:r w:rsidR="00175C8D">
        <w:rPr>
          <w:rStyle w:val="EndnoteReference"/>
          <w:lang w:val="fr-FR"/>
        </w:rPr>
        <w:endnoteReference w:id="1"/>
      </w:r>
      <w:r w:rsidRPr="00A00196">
        <w:rPr>
          <w:lang w:val="fr-FR"/>
        </w:rPr>
        <w:t xml:space="preserve"> (</w:t>
      </w:r>
      <w:proofErr w:type="spellStart"/>
      <w:r w:rsidRPr="00A00196">
        <w:rPr>
          <w:lang w:val="fr-FR"/>
        </w:rPr>
        <w:t>Multi-purpose</w:t>
      </w:r>
      <w:proofErr w:type="spellEnd"/>
      <w:r w:rsidRPr="00A00196">
        <w:rPr>
          <w:lang w:val="fr-FR"/>
        </w:rPr>
        <w:t xml:space="preserve"> </w:t>
      </w:r>
      <w:proofErr w:type="spellStart"/>
      <w:r w:rsidRPr="00A00196">
        <w:rPr>
          <w:lang w:val="fr-FR"/>
        </w:rPr>
        <w:t>hYbrid</w:t>
      </w:r>
      <w:proofErr w:type="spellEnd"/>
      <w:r w:rsidRPr="00A00196">
        <w:rPr>
          <w:lang w:val="fr-FR"/>
        </w:rPr>
        <w:t xml:space="preserve"> </w:t>
      </w:r>
      <w:proofErr w:type="spellStart"/>
      <w:r w:rsidRPr="00A00196">
        <w:rPr>
          <w:lang w:val="fr-FR"/>
        </w:rPr>
        <w:t>Research</w:t>
      </w:r>
      <w:proofErr w:type="spellEnd"/>
      <w:r w:rsidRPr="00A00196">
        <w:rPr>
          <w:lang w:val="fr-FR"/>
        </w:rPr>
        <w:t xml:space="preserve"> </w:t>
      </w:r>
      <w:proofErr w:type="spellStart"/>
      <w:r w:rsidRPr="00A00196">
        <w:rPr>
          <w:lang w:val="fr-FR"/>
        </w:rPr>
        <w:t>Reactor</w:t>
      </w:r>
      <w:proofErr w:type="spellEnd"/>
      <w:r w:rsidRPr="00A00196">
        <w:rPr>
          <w:lang w:val="fr-FR"/>
        </w:rPr>
        <w:t xml:space="preserve"> for High-tech Applications) n’y fa</w:t>
      </w:r>
      <w:r>
        <w:rPr>
          <w:lang w:val="fr-FR"/>
        </w:rPr>
        <w:t>it pas exception car son design vise</w:t>
      </w:r>
      <w:r w:rsidRPr="00A00196">
        <w:rPr>
          <w:lang w:val="fr-FR"/>
        </w:rPr>
        <w:t xml:space="preserve"> </w:t>
      </w:r>
      <w:r>
        <w:rPr>
          <w:lang w:val="fr-FR"/>
        </w:rPr>
        <w:t>une opération</w:t>
      </w:r>
      <w:r w:rsidRPr="00A00196">
        <w:rPr>
          <w:lang w:val="fr-FR"/>
        </w:rPr>
        <w:t xml:space="preserve"> avec un maximum de 10 pannes d</w:t>
      </w:r>
      <w:r>
        <w:rPr>
          <w:lang w:val="fr-FR"/>
        </w:rPr>
        <w:t>e plus de 3 secondes par cycle</w:t>
      </w:r>
      <w:r w:rsidRPr="00A00196">
        <w:rPr>
          <w:lang w:val="fr-FR"/>
        </w:rPr>
        <w:t xml:space="preserve"> de 3 mois.</w:t>
      </w:r>
      <w:r>
        <w:rPr>
          <w:lang w:val="fr-FR"/>
        </w:rPr>
        <w:t xml:space="preserve"> Afin de répondre à cette exigence, </w:t>
      </w:r>
      <w:r w:rsidR="00B941FC">
        <w:rPr>
          <w:lang w:val="fr-FR"/>
        </w:rPr>
        <w:t>plusieurs solutions innovantes sont prévues telles que l’utilisation de systèmes redondants et d’un système de contrôle optimisé. Ceci est particulièrement vrai pour le réglage de la dynamique du faisceau de particules dans l’injecteur dans le but de minimiser les pertes faisceaux dans les éléments suivants de l’accélérateur. Dans cette présentation, une solution potentielle qui consiste à régler des modèles de la</w:t>
      </w:r>
      <w:r w:rsidR="00716F37">
        <w:rPr>
          <w:lang w:val="fr-FR"/>
        </w:rPr>
        <w:t xml:space="preserve"> dynamique du faisceau dans l’</w:t>
      </w:r>
      <w:r w:rsidR="00B941FC">
        <w:rPr>
          <w:lang w:val="fr-FR"/>
        </w:rPr>
        <w:t>injecteur</w:t>
      </w:r>
      <w:r w:rsidR="00716F37">
        <w:rPr>
          <w:lang w:val="fr-FR"/>
        </w:rPr>
        <w:t xml:space="preserve"> de</w:t>
      </w:r>
      <w:r w:rsidR="00B941FC">
        <w:rPr>
          <w:lang w:val="fr-FR"/>
        </w:rPr>
        <w:t xml:space="preserve"> MYRRHA grâce à l’apprentissage supervisé et des réseaux de neurones est discutée. Les performances de ces modèles entraînés à l’aide de données expérimentales sont présenté</w:t>
      </w:r>
      <w:r w:rsidR="00175C8D">
        <w:rPr>
          <w:lang w:val="fr-FR"/>
        </w:rPr>
        <w:t xml:space="preserve">es et </w:t>
      </w:r>
      <w:r w:rsidR="00716F37">
        <w:rPr>
          <w:lang w:val="fr-FR"/>
        </w:rPr>
        <w:t>comparées</w:t>
      </w:r>
      <w:r w:rsidR="00175C8D">
        <w:rPr>
          <w:lang w:val="fr-FR"/>
        </w:rPr>
        <w:t xml:space="preserve"> </w:t>
      </w:r>
      <w:r w:rsidR="00716F37">
        <w:rPr>
          <w:lang w:val="fr-FR"/>
        </w:rPr>
        <w:t>aux performances de modèles entraînés à l’aide de données simulées.</w:t>
      </w:r>
    </w:p>
    <w:sectPr w:rsidR="00A00196" w:rsidRPr="00A00196">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EDD73" w14:textId="77777777" w:rsidR="003A0901" w:rsidRDefault="003A0901" w:rsidP="00175C8D">
      <w:pPr>
        <w:spacing w:after="0" w:line="240" w:lineRule="auto"/>
      </w:pPr>
      <w:r>
        <w:separator/>
      </w:r>
    </w:p>
  </w:endnote>
  <w:endnote w:type="continuationSeparator" w:id="0">
    <w:p w14:paraId="4BD0F7F4" w14:textId="77777777" w:rsidR="003A0901" w:rsidRDefault="003A0901" w:rsidP="00175C8D">
      <w:pPr>
        <w:spacing w:after="0" w:line="240" w:lineRule="auto"/>
      </w:pPr>
      <w:r>
        <w:continuationSeparator/>
      </w:r>
    </w:p>
  </w:endnote>
  <w:endnote w:id="1">
    <w:p w14:paraId="5C81ABEF" w14:textId="77777777" w:rsidR="00175C8D" w:rsidRDefault="00175C8D">
      <w:pPr>
        <w:pStyle w:val="EndnoteText"/>
      </w:pPr>
      <w:r>
        <w:rPr>
          <w:rStyle w:val="EndnoteReference"/>
        </w:rPr>
        <w:endnoteRef/>
      </w:r>
      <w:r>
        <w:t xml:space="preserve"> https://myrrha.be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530E5" w14:textId="77777777" w:rsidR="003A0901" w:rsidRDefault="003A0901" w:rsidP="00175C8D">
      <w:pPr>
        <w:spacing w:after="0" w:line="240" w:lineRule="auto"/>
      </w:pPr>
      <w:r>
        <w:separator/>
      </w:r>
    </w:p>
  </w:footnote>
  <w:footnote w:type="continuationSeparator" w:id="0">
    <w:p w14:paraId="7A28143D" w14:textId="77777777" w:rsidR="003A0901" w:rsidRDefault="003A0901" w:rsidP="00175C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196"/>
    <w:rsid w:val="00026DBC"/>
    <w:rsid w:val="00175C8D"/>
    <w:rsid w:val="003A0901"/>
    <w:rsid w:val="00447B08"/>
    <w:rsid w:val="005D6302"/>
    <w:rsid w:val="00716F37"/>
    <w:rsid w:val="007949E0"/>
    <w:rsid w:val="009509C3"/>
    <w:rsid w:val="00996F3E"/>
    <w:rsid w:val="00A00196"/>
    <w:rsid w:val="00A408FF"/>
    <w:rsid w:val="00B51381"/>
    <w:rsid w:val="00B85607"/>
    <w:rsid w:val="00B941FC"/>
    <w:rsid w:val="00CE5EF4"/>
    <w:rsid w:val="00D52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28AA4"/>
  <w15:chartTrackingRefBased/>
  <w15:docId w15:val="{BAF52630-3CFD-40D5-AFFA-299ED6718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175C8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5C8D"/>
    <w:rPr>
      <w:sz w:val="20"/>
      <w:szCs w:val="20"/>
    </w:rPr>
  </w:style>
  <w:style w:type="character" w:styleId="EndnoteReference">
    <w:name w:val="endnote reference"/>
    <w:basedOn w:val="DefaultParagraphFont"/>
    <w:uiPriority w:val="99"/>
    <w:semiHidden/>
    <w:unhideWhenUsed/>
    <w:rsid w:val="00175C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E3BC4-CCE8-4A5E-9E83-442913382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DEBONGNIE</dc:creator>
  <cp:keywords/>
  <dc:description/>
  <cp:lastModifiedBy>Olga Kochebina</cp:lastModifiedBy>
  <cp:revision>2</cp:revision>
  <dcterms:created xsi:type="dcterms:W3CDTF">2020-08-28T12:55:00Z</dcterms:created>
  <dcterms:modified xsi:type="dcterms:W3CDTF">2020-08-28T12:55:00Z</dcterms:modified>
</cp:coreProperties>
</file>